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AF" w:rsidRDefault="000449AF" w:rsidP="00FB319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49AF" w:rsidRDefault="000449AF" w:rsidP="00FB319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49AF" w:rsidRDefault="00F633C1" w:rsidP="00FB319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390005" cy="8768385"/>
            <wp:effectExtent l="19050" t="0" r="0" b="0"/>
            <wp:docPr id="1" name="Рисунок 1" descr="E:\ОП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П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6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9AF" w:rsidRDefault="000449AF" w:rsidP="00FB319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49AF" w:rsidRDefault="000449AF" w:rsidP="00FB319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0B9C" w:rsidRDefault="003B0B9C" w:rsidP="00F633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319F" w:rsidRDefault="00FB319F" w:rsidP="00044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FB319F" w:rsidRPr="003B0B9C" w:rsidRDefault="00FB319F" w:rsidP="00FB319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0B9C">
        <w:rPr>
          <w:rFonts w:ascii="Times New Roman" w:eastAsia="Calibri" w:hAnsi="Times New Roman" w:cs="Times New Roman"/>
          <w:iCs/>
          <w:sz w:val="26"/>
          <w:szCs w:val="26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3B0B9C">
        <w:rPr>
          <w:rFonts w:ascii="Times New Roman" w:eastAsia="Calibri" w:hAnsi="Times New Roman" w:cs="Times New Roman"/>
          <w:sz w:val="26"/>
          <w:szCs w:val="26"/>
        </w:rPr>
        <w:t>ориентирована на учащихся 4 класса и разработана на основе следующих документов:</w:t>
      </w:r>
    </w:p>
    <w:p w:rsidR="00FB319F" w:rsidRPr="003B0B9C" w:rsidRDefault="00FB319F" w:rsidP="00FB319F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>Федерального Закона от 29.12.2012 № 273-ФЗ «Об образовании в Российской Федерации»;</w:t>
      </w:r>
    </w:p>
    <w:p w:rsidR="00FB319F" w:rsidRPr="003B0B9C" w:rsidRDefault="00FB319F" w:rsidP="00FB319F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дополнениями.</w:t>
      </w:r>
    </w:p>
    <w:p w:rsidR="00BB1A86" w:rsidRPr="003B0B9C" w:rsidRDefault="00FB319F" w:rsidP="00BB1A86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>Авторской программы «Основы религиозных культур и светской этики: основы православной культуры» Васильева О.Ю. (</w:t>
      </w:r>
      <w:bookmarkStart w:id="0" w:name="_Hlk138668153"/>
      <w:r w:rsidRPr="003B0B9C">
        <w:rPr>
          <w:rFonts w:ascii="Times New Roman" w:eastAsia="Calibri" w:hAnsi="Times New Roman" w:cs="Times New Roman"/>
          <w:sz w:val="26"/>
          <w:szCs w:val="26"/>
        </w:rPr>
        <w:t xml:space="preserve">Васильева О.Ю. </w:t>
      </w:r>
      <w:bookmarkEnd w:id="0"/>
      <w:r w:rsidRPr="003B0B9C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к учебнику Васильева О.Ю. «Основы религиозных культур и светской этики: основы православной культуры: учебник для 4 класса общеобразовательных учреждений / О.Ю. Васильева. – МА.: ООО «Русское слово – учебник», 2023). </w:t>
      </w:r>
    </w:p>
    <w:p w:rsidR="00BB1A86" w:rsidRPr="003B0B9C" w:rsidRDefault="00BB1A86" w:rsidP="00BB1A86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>Устава МОУ «1-Засеймская    средняя общеобразовательная школа », утверждённого приказом директором школы  ;</w:t>
      </w:r>
    </w:p>
    <w:p w:rsidR="00BB1A86" w:rsidRPr="003B0B9C" w:rsidRDefault="00BB1A86" w:rsidP="00BB1A86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>Основной образовательной программы начального общего образования МОУ «1-Засеймская средняя общеобразовательная школа»;</w:t>
      </w:r>
    </w:p>
    <w:p w:rsidR="00FB319F" w:rsidRPr="003B0B9C" w:rsidRDefault="00BB1A86" w:rsidP="003B0B9C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>Положения о структуре, порядке разработки и утверждения рабочей программы по учебному предмету, курсу педагогов, реализующих Федеральный государственный образовательный стандарт начального общего образования.</w:t>
      </w:r>
    </w:p>
    <w:p w:rsidR="00FB319F" w:rsidRPr="003B0B9C" w:rsidRDefault="00FB319F" w:rsidP="00FB319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B319F" w:rsidRPr="003B0B9C" w:rsidRDefault="00FB319F" w:rsidP="00FB319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:rsidR="00FB319F" w:rsidRPr="003B0B9C" w:rsidRDefault="00FB319F" w:rsidP="00FB319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3B0B9C">
        <w:rPr>
          <w:rFonts w:ascii="Times New Roman" w:eastAsia="Calibri" w:hAnsi="Times New Roman" w:cs="Times New Roman"/>
          <w:b/>
          <w:i/>
          <w:sz w:val="26"/>
          <w:szCs w:val="26"/>
        </w:rPr>
        <w:t>Литература для учащихся:</w:t>
      </w:r>
    </w:p>
    <w:p w:rsidR="00FB319F" w:rsidRPr="003B0B9C" w:rsidRDefault="00FB319F" w:rsidP="00FB319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:rsidR="00FB319F" w:rsidRPr="003B0B9C" w:rsidRDefault="00FB319F" w:rsidP="00FB319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3B0B9C">
        <w:rPr>
          <w:rFonts w:ascii="Times New Roman" w:eastAsia="Calibri" w:hAnsi="Times New Roman" w:cs="Times New Roman"/>
          <w:b/>
          <w:i/>
          <w:sz w:val="26"/>
          <w:szCs w:val="26"/>
        </w:rPr>
        <w:t>Методическая литература для учителя:</w:t>
      </w:r>
    </w:p>
    <w:p w:rsidR="00FB319F" w:rsidRPr="003B0B9C" w:rsidRDefault="00FB319F" w:rsidP="00FB319F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_Hlk138668072"/>
      <w:r w:rsidRPr="003B0B9C">
        <w:rPr>
          <w:rFonts w:ascii="Times New Roman" w:eastAsia="Calibri" w:hAnsi="Times New Roman" w:cs="Times New Roman"/>
          <w:sz w:val="26"/>
          <w:szCs w:val="26"/>
        </w:rPr>
        <w:t xml:space="preserve">Васильева О.Ю. </w:t>
      </w:r>
      <w:bookmarkEnd w:id="1"/>
      <w:r w:rsidRPr="003B0B9C">
        <w:rPr>
          <w:rFonts w:ascii="Times New Roman" w:eastAsia="Calibri" w:hAnsi="Times New Roman" w:cs="Times New Roman"/>
          <w:sz w:val="26"/>
          <w:szCs w:val="26"/>
        </w:rPr>
        <w:t>Рабочая программа к учебнику «Основы религиозных культур и светской этики: основы православной культуры». 4 класс, 2023.</w:t>
      </w:r>
    </w:p>
    <w:p w:rsidR="00FB319F" w:rsidRPr="003B0B9C" w:rsidRDefault="00FB319F" w:rsidP="00FB319F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0B9C">
        <w:rPr>
          <w:rFonts w:ascii="Times New Roman" w:eastAsia="Calibri" w:hAnsi="Times New Roman" w:cs="Times New Roman"/>
          <w:sz w:val="26"/>
          <w:szCs w:val="26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2" w:name="_Hlk138668085"/>
      <w:r w:rsidRPr="003B0B9C">
        <w:rPr>
          <w:rFonts w:ascii="Times New Roman" w:eastAsia="Calibri" w:hAnsi="Times New Roman" w:cs="Times New Roman"/>
          <w:sz w:val="26"/>
          <w:szCs w:val="26"/>
        </w:rPr>
        <w:t>О.Ю. Васильева</w:t>
      </w:r>
      <w:bookmarkEnd w:id="2"/>
      <w:r w:rsidRPr="003B0B9C">
        <w:rPr>
          <w:rFonts w:ascii="Times New Roman" w:eastAsia="Calibri" w:hAnsi="Times New Roman" w:cs="Times New Roman"/>
          <w:sz w:val="26"/>
          <w:szCs w:val="26"/>
        </w:rPr>
        <w:t>, К.В. Савченко, Т.И. Тюляева, 2023 г.</w:t>
      </w:r>
    </w:p>
    <w:p w:rsidR="00FB319F" w:rsidRPr="003B0B9C" w:rsidRDefault="00FB319F" w:rsidP="00FB31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319F" w:rsidRPr="003B0B9C" w:rsidRDefault="00FB319F" w:rsidP="00FB319F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Методологическая основа программы — системно-деятельностный подход.</w:t>
      </w:r>
    </w:p>
    <w:p w:rsidR="00FB319F" w:rsidRPr="003B0B9C" w:rsidRDefault="00FB319F" w:rsidP="00FB319F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 xml:space="preserve">Цель и задачи изучения учебного предмета «Основы Религиозных культур и светской этики». </w:t>
      </w:r>
    </w:p>
    <w:p w:rsidR="00FB319F" w:rsidRPr="003B0B9C" w:rsidRDefault="00FB319F" w:rsidP="00FB319F">
      <w:p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FB319F" w:rsidRPr="003B0B9C" w:rsidRDefault="00FB319F" w:rsidP="00FB319F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Основными задачами ОРКСЭ являются:</w:t>
      </w:r>
    </w:p>
    <w:p w:rsidR="00FB319F" w:rsidRPr="003B0B9C" w:rsidRDefault="00FB319F" w:rsidP="00FB319F">
      <w:pPr>
        <w:pStyle w:val="a5"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FB319F" w:rsidRPr="003B0B9C" w:rsidRDefault="00FB319F" w:rsidP="00FB319F">
      <w:pPr>
        <w:pStyle w:val="a5"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FB319F" w:rsidRPr="003B0B9C" w:rsidRDefault="00FB319F" w:rsidP="00FB319F">
      <w:pPr>
        <w:pStyle w:val="a5"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lastRenderedPageBreak/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FB319F" w:rsidRPr="003B0B9C" w:rsidRDefault="00FB319F" w:rsidP="00FB319F">
      <w:pPr>
        <w:pStyle w:val="a5"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:rsidR="00BB1A86" w:rsidRPr="003B0B9C" w:rsidRDefault="00BB1A86" w:rsidP="00BB1A86">
      <w:pPr>
        <w:pStyle w:val="a5"/>
        <w:ind w:left="64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1A86" w:rsidRPr="003B0B9C" w:rsidRDefault="00BB1A86" w:rsidP="00BB1A86">
      <w:pPr>
        <w:pStyle w:val="a5"/>
        <w:ind w:left="64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Место курса в учебном плане</w:t>
      </w:r>
    </w:p>
    <w:p w:rsidR="00BB1A86" w:rsidRPr="003B0B9C" w:rsidRDefault="00BB1A86" w:rsidP="00BB1A86">
      <w:pPr>
        <w:pStyle w:val="a5"/>
        <w:ind w:left="643"/>
        <w:jc w:val="both"/>
        <w:rPr>
          <w:rFonts w:ascii="Times New Roman" w:hAnsi="Times New Roman" w:cs="Times New Roman"/>
          <w:sz w:val="26"/>
          <w:szCs w:val="26"/>
        </w:rPr>
      </w:pPr>
    </w:p>
    <w:p w:rsidR="00BB1A86" w:rsidRPr="003B0B9C" w:rsidRDefault="00BB1A86" w:rsidP="00BB1A86">
      <w:pPr>
        <w:pStyle w:val="a5"/>
        <w:ind w:left="643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«Основы религиозной культуры и светской этики» является частью предметной области «Основы православной культуры» и изучается в 4-ом классе.</w:t>
      </w:r>
    </w:p>
    <w:p w:rsidR="00BB1A86" w:rsidRPr="003B0B9C" w:rsidRDefault="00BB1A86" w:rsidP="00BB1A86">
      <w:pPr>
        <w:pStyle w:val="a5"/>
        <w:ind w:left="643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В основе учебно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:rsidR="00BB1A86" w:rsidRPr="003B0B9C" w:rsidRDefault="00BB1A86" w:rsidP="00BB1A86">
      <w:pPr>
        <w:pStyle w:val="a5"/>
        <w:ind w:left="643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Данный курс «Основы православной культуры» используется в рамках комплексного предмета «Основы религиозной культуры и светской этики». Обучение организуется с согласия обучающегося и по выбору родителей. </w:t>
      </w:r>
    </w:p>
    <w:p w:rsidR="00BB1A86" w:rsidRPr="003B0B9C" w:rsidRDefault="00BB1A86" w:rsidP="00BB1A86">
      <w:pPr>
        <w:pStyle w:val="a5"/>
        <w:ind w:left="643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:rsidR="00FB319F" w:rsidRPr="003B0B9C" w:rsidRDefault="00FB319F" w:rsidP="00FB31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B319F" w:rsidRPr="003B0B9C" w:rsidRDefault="00BB1A86" w:rsidP="00FB319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I. ПЛАНИРУЕМЫЕ РЕЗУЛЬТАТЫ ОСВОЕНИЯ УЧЕБНОГО ПРЕДМЕТА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3) формирование уважительного отношения к иному мнению, истории и культуре других народов;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4) овладение начальными навыками адаптации в динамично изменяющемся и развивающемся мире;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lastRenderedPageBreak/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7) формирование эстетических потребностей, ценностей и чувств;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B319F" w:rsidRPr="003B0B9C" w:rsidRDefault="00FB319F" w:rsidP="00FB319F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Гражданско-патриотическое воспитание:</w:t>
      </w:r>
    </w:p>
    <w:p w:rsidR="00FB319F" w:rsidRPr="003B0B9C" w:rsidRDefault="00FB319F" w:rsidP="00FB319F">
      <w:p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FB319F" w:rsidRPr="003B0B9C" w:rsidRDefault="00FB319F" w:rsidP="00FB319F">
      <w:p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FB319F" w:rsidRPr="003B0B9C" w:rsidRDefault="00FB319F" w:rsidP="00FB319F">
      <w:p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2)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B319F" w:rsidRPr="003B0B9C" w:rsidRDefault="00FB319F" w:rsidP="00FB319F">
      <w:pPr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2) освоение способов решения проблем творческого и поискового характера;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5) освоение начальных форм познавательной и личностной рефлексии;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lastRenderedPageBreak/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13) готовность конструктивно разрешать конфликты посредством учета интересов сторон и сотрудничества;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1) готовность к нравственному самосовершенствованию, духовному саморазвитию;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3) понимание значения нравственности, веры и религии в жизни человека и общества;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lastRenderedPageBreak/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7) осознание ценности человеческой жизни.</w:t>
      </w:r>
    </w:p>
    <w:p w:rsidR="00FB319F" w:rsidRPr="003B0B9C" w:rsidRDefault="00FB319F" w:rsidP="00FB319F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Планируемые результаты по учебным модулям.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 xml:space="preserve">Выпускник научится: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 xml:space="preserve">Выпускник получит возможность научиться: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–развивать нравственную рефлексию, совершенствовать моральнонравственное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FB319F" w:rsidRPr="003B0B9C" w:rsidRDefault="00FB319F" w:rsidP="00FB31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BB1A86" w:rsidRPr="003B0B9C" w:rsidRDefault="00BB1A86" w:rsidP="00BB1A8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3B0B9C">
        <w:rPr>
          <w:rFonts w:ascii="Times New Roman" w:hAnsi="Times New Roman" w:cs="Times New Roman"/>
          <w:b/>
          <w:bCs/>
          <w:sz w:val="26"/>
          <w:szCs w:val="26"/>
        </w:rPr>
        <w:t>. Содержание тем учебного предмета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1. Россия — наша Родина (2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</w:t>
      </w:r>
      <w:r w:rsidRPr="003B0B9C">
        <w:rPr>
          <w:rFonts w:ascii="Times New Roman" w:hAnsi="Times New Roman" w:cs="Times New Roman"/>
          <w:sz w:val="26"/>
          <w:szCs w:val="26"/>
        </w:rPr>
        <w:lastRenderedPageBreak/>
        <w:t>национальной культуре, традициям. Любовь к России, воспеваемая в поэзии, песенном творчестве.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2. Православная духовная традиция (2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3. Что такое христианство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Боговоплощение от Духа Святого и Девы Марии.Иоанн Предтеча — Креститель Господа Иисуса Христа. Проповедь Царства Божия (Царства Небесного). Понятие «апостолы».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4. Особенности восточного христианства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инославия и иноверия. Вселенские Соборы. Символ веры как краткая формулировка вероучительных истин. Празднование Пасхи. Традиция иконопочитания. Полное название Православной (Восточной, Византийской, Греческой) Церкви — Единая Святая Соборная и Апостольская Церковь.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5. Культура и религия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Происхождение культуры, происхождение термина «культура». Происхождение религии. Понятие богооткровения.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6. Добро и зло в православной традиции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7. Во что верят православные христиане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Вера как основа любой религии и синоним слова «религия». Догматы — вероучительные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8. Золотое правило нравственности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9. Любовь к ближнему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10. Милосердие и сострадание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lastRenderedPageBreak/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11. Отношение к труду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12. Долг и ответственность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13. Защита отечества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14. Десять заповедей божиих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Понятие о заповедях Божиих. Миссия пророка Моисея. Получение заповедей Божиих на горе Синай.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15. Заповеди блаженства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16. Православие в России (2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Дир.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17. Православный храм и другие святыни (2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18. Таинства православной церкви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19. Древнейшие чудотворные иконы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</w:t>
      </w:r>
      <w:r w:rsidRPr="003B0B9C">
        <w:rPr>
          <w:rFonts w:ascii="Times New Roman" w:hAnsi="Times New Roman" w:cs="Times New Roman"/>
          <w:sz w:val="26"/>
          <w:szCs w:val="26"/>
        </w:rPr>
        <w:lastRenderedPageBreak/>
        <w:t xml:space="preserve">Пресвятой Богородицы. </w:t>
      </w:r>
      <w:r w:rsidRPr="003B0B9C">
        <w:rPr>
          <w:rFonts w:ascii="Times New Roman" w:hAnsi="Times New Roman" w:cs="Times New Roman"/>
          <w:sz w:val="26"/>
          <w:szCs w:val="26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20. Молитва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Иисусова молитва.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21. Православные монастыри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Псково-Печерский монастырь, Спасо-Преображенский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22. Почитание святых в православной культуре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Понятие святости. Местночтимые и общецерковные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Пантелеимон, Василий Блаженный, святитель Николай Чудотворец Мирликийский. 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23. Символический язык православной культуры: храм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24. Икона, фреска, картина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25. Колокольные звоны и церковное пение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Партесное пение. Понятие акапеллы.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26. Прикладное искусство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27. Православные праздники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 xml:space="preserve">Понятие «праздничные иконы». Церковные праздники. Праздники переходящие и непереходящие. Светлое Христово Воскресение, Пасха Господня — самый главный </w:t>
      </w:r>
      <w:r w:rsidRPr="003B0B9C">
        <w:rPr>
          <w:rFonts w:ascii="Times New Roman" w:hAnsi="Times New Roman" w:cs="Times New Roman"/>
          <w:sz w:val="26"/>
          <w:szCs w:val="26"/>
        </w:rPr>
        <w:lastRenderedPageBreak/>
        <w:t>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28. Православный календарь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непереходящие праздники.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Тема 29. Христианская семья и ее ценности (1 ч)</w:t>
      </w:r>
    </w:p>
    <w:p w:rsidR="00BB1A86" w:rsidRPr="003B0B9C" w:rsidRDefault="00BB1A86" w:rsidP="00BB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B9C">
        <w:rPr>
          <w:rFonts w:ascii="Times New Roman" w:hAnsi="Times New Roman" w:cs="Times New Roman"/>
          <w:sz w:val="26"/>
          <w:szCs w:val="26"/>
        </w:rPr>
        <w:t>Понятие о православной семье как малой церкви. Скрепление супружества таинством Брака (Венчания). Преподобные Петр и Феврония — образец супружества в православной традиции. Житие святых Петра и Февронии. 8 июля — День семьи, любви и верности. Русская народная мудрость о семье, семейном счастье.</w:t>
      </w:r>
    </w:p>
    <w:p w:rsidR="004A343C" w:rsidRDefault="004A343C" w:rsidP="003B0B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1A86" w:rsidRDefault="00BB1A86" w:rsidP="003B0B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0B9C">
        <w:rPr>
          <w:rFonts w:ascii="Times New Roman" w:hAnsi="Times New Roman" w:cs="Times New Roman"/>
          <w:b/>
          <w:sz w:val="26"/>
          <w:szCs w:val="26"/>
        </w:rPr>
        <w:t>Итого</w:t>
      </w:r>
      <w:r w:rsidR="003B0B9C" w:rsidRPr="003B0B9C">
        <w:rPr>
          <w:rFonts w:ascii="Times New Roman" w:hAnsi="Times New Roman" w:cs="Times New Roman"/>
          <w:b/>
          <w:sz w:val="26"/>
          <w:szCs w:val="26"/>
        </w:rPr>
        <w:t>вое повторение и обобщение (1 ч</w:t>
      </w:r>
      <w:r w:rsidR="004A343C">
        <w:rPr>
          <w:rFonts w:ascii="Times New Roman" w:hAnsi="Times New Roman" w:cs="Times New Roman"/>
          <w:b/>
          <w:sz w:val="26"/>
          <w:szCs w:val="26"/>
        </w:rPr>
        <w:t>)</w:t>
      </w:r>
      <w:bookmarkStart w:id="3" w:name="_GoBack"/>
      <w:bookmarkEnd w:id="3"/>
    </w:p>
    <w:p w:rsidR="00EE5611" w:rsidRPr="003B0B9C" w:rsidRDefault="00EE5611" w:rsidP="003B0B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319F" w:rsidRPr="003B0B9C" w:rsidRDefault="00D7440B" w:rsidP="00D7440B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B0B9C">
        <w:rPr>
          <w:rFonts w:ascii="Times New Roman" w:hAnsi="Times New Roman" w:cs="Times New Roman"/>
          <w:b/>
          <w:bCs/>
          <w:sz w:val="26"/>
          <w:szCs w:val="26"/>
        </w:rPr>
        <w:t>III. ТЕМАТИЧЕСКОЕ ПЛАНИРОВАНИЕ, В ТОМ ЧИСЛЕ С УЧЁТОМ РАБОЧЕЙ ПРОГРАММЫ ВОСПИТАНИЯ С УКАЗАНИЕМ КОЛИЧЕСТВА ЧАСОВ, ОТВОДИМЫХ НА ОСВОЕНИЕ КАЖДОЙ ТЕМЫ</w:t>
      </w:r>
    </w:p>
    <w:p w:rsidR="00FB319F" w:rsidRPr="003B0B9C" w:rsidRDefault="00FB319F" w:rsidP="00FB319F">
      <w:pPr>
        <w:spacing w:after="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B319F" w:rsidRPr="003B0B9C" w:rsidRDefault="00FB319F" w:rsidP="00FB319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0B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 класс</w:t>
      </w:r>
    </w:p>
    <w:tbl>
      <w:tblPr>
        <w:tblStyle w:val="a8"/>
        <w:tblW w:w="0" w:type="auto"/>
        <w:tblLook w:val="04A0"/>
      </w:tblPr>
      <w:tblGrid>
        <w:gridCol w:w="817"/>
        <w:gridCol w:w="7655"/>
        <w:gridCol w:w="1807"/>
      </w:tblGrid>
      <w:tr w:rsidR="00EE5611" w:rsidTr="004A343C">
        <w:tc>
          <w:tcPr>
            <w:tcW w:w="817" w:type="dxa"/>
          </w:tcPr>
          <w:p w:rsidR="00EE5611" w:rsidRDefault="00EE5611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7655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Раздел .Название темы</w:t>
            </w:r>
          </w:p>
        </w:tc>
        <w:tc>
          <w:tcPr>
            <w:tcW w:w="180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EE5611" w:rsidTr="004A343C">
        <w:tc>
          <w:tcPr>
            <w:tcW w:w="81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7655" w:type="dxa"/>
          </w:tcPr>
          <w:p w:rsidR="00EE5611" w:rsidRDefault="004A343C" w:rsidP="004A343C">
            <w:pP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Россия — наша Родина</w:t>
            </w:r>
          </w:p>
        </w:tc>
        <w:tc>
          <w:tcPr>
            <w:tcW w:w="180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</w:tc>
      </w:tr>
      <w:tr w:rsidR="00EE5611" w:rsidTr="004A343C">
        <w:tc>
          <w:tcPr>
            <w:tcW w:w="81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7655" w:type="dxa"/>
          </w:tcPr>
          <w:p w:rsidR="00EE5611" w:rsidRDefault="004A343C" w:rsidP="004A343C">
            <w:pP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180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</w:tc>
      </w:tr>
      <w:tr w:rsidR="00EE5611" w:rsidTr="004A343C">
        <w:tc>
          <w:tcPr>
            <w:tcW w:w="81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7655" w:type="dxa"/>
          </w:tcPr>
          <w:p w:rsidR="00EE5611" w:rsidRDefault="004A343C" w:rsidP="004A343C">
            <w:pP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что верят православные христиане</w:t>
            </w:r>
          </w:p>
        </w:tc>
        <w:tc>
          <w:tcPr>
            <w:tcW w:w="180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4</w:t>
            </w:r>
          </w:p>
        </w:tc>
      </w:tr>
      <w:tr w:rsidR="00EE5611" w:rsidTr="004A343C">
        <w:tc>
          <w:tcPr>
            <w:tcW w:w="81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7655" w:type="dxa"/>
          </w:tcPr>
          <w:p w:rsidR="00EE5611" w:rsidRDefault="004A343C" w:rsidP="004A343C">
            <w:pP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180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4</w:t>
            </w:r>
          </w:p>
        </w:tc>
      </w:tr>
      <w:tr w:rsidR="00EE5611" w:rsidTr="004A343C">
        <w:tc>
          <w:tcPr>
            <w:tcW w:w="81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7655" w:type="dxa"/>
          </w:tcPr>
          <w:p w:rsidR="00EE5611" w:rsidRDefault="004A343C" w:rsidP="004A343C">
            <w:pP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Отношение к труду. Долг и ответственность</w:t>
            </w:r>
          </w:p>
        </w:tc>
        <w:tc>
          <w:tcPr>
            <w:tcW w:w="180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</w:tc>
      </w:tr>
      <w:tr w:rsidR="00EE5611" w:rsidTr="004A343C">
        <w:tc>
          <w:tcPr>
            <w:tcW w:w="81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7655" w:type="dxa"/>
          </w:tcPr>
          <w:p w:rsidR="00EE5611" w:rsidRPr="004A343C" w:rsidRDefault="004A343C" w:rsidP="004A343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Милосердиеи сострадание</w:t>
            </w:r>
          </w:p>
        </w:tc>
        <w:tc>
          <w:tcPr>
            <w:tcW w:w="180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</w:tc>
      </w:tr>
      <w:tr w:rsidR="00EE5611" w:rsidTr="004A343C">
        <w:tc>
          <w:tcPr>
            <w:tcW w:w="81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7655" w:type="dxa"/>
          </w:tcPr>
          <w:p w:rsidR="00EE5611" w:rsidRDefault="004A343C" w:rsidP="004A343C">
            <w:pP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Православие в России</w:t>
            </w:r>
          </w:p>
        </w:tc>
        <w:tc>
          <w:tcPr>
            <w:tcW w:w="1807" w:type="dxa"/>
          </w:tcPr>
          <w:p w:rsidR="00EE5611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5</w:t>
            </w:r>
          </w:p>
        </w:tc>
      </w:tr>
      <w:tr w:rsidR="004A343C" w:rsidTr="004A343C">
        <w:tc>
          <w:tcPr>
            <w:tcW w:w="817" w:type="dxa"/>
          </w:tcPr>
          <w:p w:rsidR="004A343C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7655" w:type="dxa"/>
          </w:tcPr>
          <w:p w:rsidR="004A343C" w:rsidRPr="003B0B9C" w:rsidRDefault="004A343C" w:rsidP="004A343C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Православный храм и другие святыни</w:t>
            </w:r>
          </w:p>
        </w:tc>
        <w:tc>
          <w:tcPr>
            <w:tcW w:w="1807" w:type="dxa"/>
          </w:tcPr>
          <w:p w:rsidR="004A343C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3</w:t>
            </w:r>
          </w:p>
        </w:tc>
      </w:tr>
      <w:tr w:rsidR="004A343C" w:rsidTr="00842C5C">
        <w:tc>
          <w:tcPr>
            <w:tcW w:w="817" w:type="dxa"/>
          </w:tcPr>
          <w:p w:rsidR="004A343C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7655" w:type="dxa"/>
            <w:vAlign w:val="center"/>
          </w:tcPr>
          <w:p w:rsidR="004A343C" w:rsidRPr="003B0B9C" w:rsidRDefault="004A343C" w:rsidP="004A343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Символический язык православной культуры: христианское искусство (иконы, фрески, церковное пение,прикладное искусство), православный календарь.Праздники</w:t>
            </w:r>
          </w:p>
        </w:tc>
        <w:tc>
          <w:tcPr>
            <w:tcW w:w="1807" w:type="dxa"/>
          </w:tcPr>
          <w:p w:rsidR="004A343C" w:rsidRPr="003B0B9C" w:rsidRDefault="004A343C" w:rsidP="004A34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4A343C" w:rsidTr="00842C5C">
        <w:tc>
          <w:tcPr>
            <w:tcW w:w="817" w:type="dxa"/>
          </w:tcPr>
          <w:p w:rsidR="004A343C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7655" w:type="dxa"/>
            <w:vAlign w:val="center"/>
          </w:tcPr>
          <w:p w:rsidR="004A343C" w:rsidRPr="003B0B9C" w:rsidRDefault="004A343C" w:rsidP="004A343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Христи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анская семья и её ценности </w:t>
            </w:r>
          </w:p>
        </w:tc>
        <w:tc>
          <w:tcPr>
            <w:tcW w:w="1807" w:type="dxa"/>
          </w:tcPr>
          <w:p w:rsidR="004A343C" w:rsidRDefault="004A343C" w:rsidP="004A34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4A343C" w:rsidTr="00842C5C">
        <w:tc>
          <w:tcPr>
            <w:tcW w:w="817" w:type="dxa"/>
          </w:tcPr>
          <w:p w:rsidR="004A343C" w:rsidRDefault="004A343C" w:rsidP="00FB319F">
            <w:pPr>
              <w:jc w:val="center"/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7655" w:type="dxa"/>
            <w:vAlign w:val="center"/>
          </w:tcPr>
          <w:p w:rsidR="004A343C" w:rsidRPr="003B0B9C" w:rsidRDefault="004A343C" w:rsidP="00EB097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807" w:type="dxa"/>
          </w:tcPr>
          <w:p w:rsidR="004A343C" w:rsidRDefault="004A343C" w:rsidP="004A34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</w:tbl>
    <w:p w:rsidR="00EE5611" w:rsidRDefault="004A343C" w:rsidP="004A343C">
      <w:pPr>
        <w:spacing w:after="0"/>
        <w:jc w:val="center"/>
        <w:rPr>
          <w:rFonts w:ascii="Times New Roman" w:eastAsia="Arial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Arial" w:hAnsi="Times New Roman" w:cs="Times New Roman"/>
          <w:color w:val="181818"/>
          <w:sz w:val="26"/>
          <w:szCs w:val="26"/>
          <w:lang w:eastAsia="ru-RU"/>
        </w:rPr>
        <w:br/>
      </w:r>
    </w:p>
    <w:p w:rsidR="004A343C" w:rsidRDefault="004A343C" w:rsidP="004A343C">
      <w:pPr>
        <w:spacing w:after="0"/>
        <w:jc w:val="center"/>
        <w:rPr>
          <w:rFonts w:ascii="Times New Roman" w:eastAsia="Arial" w:hAnsi="Times New Roman" w:cs="Times New Roman"/>
          <w:color w:val="181818"/>
          <w:sz w:val="26"/>
          <w:szCs w:val="26"/>
          <w:lang w:eastAsia="ru-RU"/>
        </w:rPr>
      </w:pPr>
    </w:p>
    <w:p w:rsidR="004A343C" w:rsidRDefault="004A343C" w:rsidP="004A343C">
      <w:pPr>
        <w:spacing w:after="0"/>
        <w:jc w:val="center"/>
        <w:rPr>
          <w:rFonts w:ascii="Times New Roman" w:eastAsia="Arial" w:hAnsi="Times New Roman" w:cs="Times New Roman"/>
          <w:color w:val="181818"/>
          <w:sz w:val="26"/>
          <w:szCs w:val="26"/>
          <w:lang w:eastAsia="ru-RU"/>
        </w:rPr>
      </w:pPr>
    </w:p>
    <w:p w:rsidR="004A343C" w:rsidRDefault="004A343C" w:rsidP="00B856F1">
      <w:pPr>
        <w:spacing w:after="0"/>
        <w:rPr>
          <w:rFonts w:ascii="Times New Roman" w:eastAsia="Arial" w:hAnsi="Times New Roman" w:cs="Times New Roman"/>
          <w:color w:val="181818"/>
          <w:sz w:val="26"/>
          <w:szCs w:val="26"/>
          <w:lang w:eastAsia="ru-RU"/>
        </w:rPr>
      </w:pPr>
    </w:p>
    <w:sectPr w:rsidR="004A343C" w:rsidSect="003B0B9C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B74BD"/>
    <w:rsid w:val="000449AF"/>
    <w:rsid w:val="0009275F"/>
    <w:rsid w:val="000D5171"/>
    <w:rsid w:val="003B0B9C"/>
    <w:rsid w:val="004110AE"/>
    <w:rsid w:val="004A343C"/>
    <w:rsid w:val="006B6A8E"/>
    <w:rsid w:val="00823CC6"/>
    <w:rsid w:val="00B856F1"/>
    <w:rsid w:val="00BB1A86"/>
    <w:rsid w:val="00CB4D1B"/>
    <w:rsid w:val="00D7440B"/>
    <w:rsid w:val="00EB74BD"/>
    <w:rsid w:val="00EE5611"/>
    <w:rsid w:val="00F633C1"/>
    <w:rsid w:val="00FB3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9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319F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B3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B319F"/>
    <w:pPr>
      <w:ind w:left="720"/>
      <w:contextualSpacing/>
    </w:pPr>
  </w:style>
  <w:style w:type="table" w:customStyle="1" w:styleId="TableGrid">
    <w:name w:val="TableGrid"/>
    <w:rsid w:val="00FB319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61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EE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9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319F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B3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B319F"/>
    <w:pPr>
      <w:ind w:left="720"/>
      <w:contextualSpacing/>
    </w:pPr>
  </w:style>
  <w:style w:type="table" w:customStyle="1" w:styleId="TableGrid">
    <w:name w:val="TableGrid"/>
    <w:rsid w:val="00FB319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61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EE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3870</Words>
  <Characters>22059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Ивановна</dc:creator>
  <cp:keywords/>
  <dc:description/>
  <cp:lastModifiedBy>Татьяна</cp:lastModifiedBy>
  <cp:revision>12</cp:revision>
  <dcterms:created xsi:type="dcterms:W3CDTF">2023-10-17T09:08:00Z</dcterms:created>
  <dcterms:modified xsi:type="dcterms:W3CDTF">2007-12-31T21:45:00Z</dcterms:modified>
</cp:coreProperties>
</file>